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POLITYKA PRYWATNOŚCI </w:t>
        <w:br w:type="textWrapping"/>
        <w:t xml:space="preserve">K</w:t>
      </w:r>
      <w:r w:rsidDel="00000000" w:rsidR="00000000" w:rsidRPr="00000000">
        <w:rPr>
          <w:rFonts w:ascii="Arial" w:cs="Arial" w:eastAsia="Arial" w:hAnsi="Arial"/>
          <w:b w:val="1"/>
          <w:rtl w:val="0"/>
        </w:rPr>
        <w:t xml:space="preserve">ONKURS TRANSATLANTYK INSTANT COMPOSITION CONTEST</w:t>
        <w:br w:type="textWrapping"/>
        <w:t xml:space="preserve">KONKURS POLSKICH KRÓTKICH METRAŻY</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Ten dokument zawiera informacje o tym, w jaki sposób, w jakim celu i na jakiej podstawie przetwarzane są Państwa dane osobowe, które podają Państwo w związku z udziałem </w:t>
        <w:br w:type="textWrapping"/>
        <w:t xml:space="preserve">w </w:t>
      </w:r>
      <w:r w:rsidDel="00000000" w:rsidR="00000000" w:rsidRPr="00000000">
        <w:rPr>
          <w:rFonts w:ascii="Arial" w:cs="Arial" w:eastAsia="Arial" w:hAnsi="Arial"/>
          <w:color w:val="000000"/>
          <w:rtl w:val="0"/>
        </w:rPr>
        <w:t xml:space="preserve">Konkursach</w:t>
      </w:r>
      <w:r w:rsidDel="00000000" w:rsidR="00000000" w:rsidRPr="00000000">
        <w:rPr>
          <w:rFonts w:ascii="Arial" w:cs="Arial" w:eastAsia="Arial" w:hAnsi="Arial"/>
          <w:color w:val="000000"/>
          <w:rtl w:val="0"/>
        </w:rPr>
        <w:t xml:space="preserve"> oraz kontaktem z Organizatorem Konkursów za pośrednictwem strony internetowej dostępnej pod adresem: </w:t>
      </w:r>
      <w:r w:rsidDel="00000000" w:rsidR="00000000" w:rsidRPr="00000000">
        <w:rPr>
          <w:rFonts w:ascii="Arial" w:cs="Arial" w:eastAsia="Arial" w:hAnsi="Arial"/>
          <w:rtl w:val="0"/>
        </w:rPr>
        <w:t xml:space="preserve">www.transatlantyk.org</w:t>
      </w:r>
      <w:r w:rsidDel="00000000" w:rsidR="00000000" w:rsidRPr="00000000">
        <w:rPr>
          <w:rFonts w:ascii="Arial" w:cs="Arial" w:eastAsia="Arial" w:hAnsi="Arial"/>
          <w:color w:val="000000"/>
          <w:rtl w:val="0"/>
        </w:rPr>
        <w:t xml:space="preserve">. Zachęcamy do zapoznania się z nim.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pacing w:after="0" w:line="276" w:lineRule="auto"/>
        <w:ind w:left="567" w:hanging="567"/>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Definicje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Poniżej wymienione słowa mają na potrzeby tego dokumentu następujące znaczenie: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b w:val="1"/>
          <w:color w:val="000000"/>
          <w:rtl w:val="0"/>
        </w:rPr>
        <w:t xml:space="preserve">Administrator – </w:t>
      </w:r>
      <w:r w:rsidDel="00000000" w:rsidR="00000000" w:rsidRPr="00000000">
        <w:rPr>
          <w:rFonts w:ascii="Arial" w:cs="Arial" w:eastAsia="Arial" w:hAnsi="Arial"/>
          <w:color w:val="000000"/>
          <w:rtl w:val="0"/>
        </w:rPr>
        <w:t xml:space="preserve">administratorem Pani/Pana danych osobowych jest Fundacja „Transatlantyk Festival” z siedzibą w Łodzi, adres siedziby: Plac Wolności 5, </w:t>
        <w:br w:type="textWrapping"/>
        <w:t xml:space="preserve">91-415 Łódź, KRS: 0000557292, NIP: 7252086370, REGON: 361487979, adres e-mail do kontaktu: </w:t>
      </w:r>
      <w:r w:rsidDel="00000000" w:rsidR="00000000" w:rsidRPr="00000000">
        <w:rPr>
          <w:rFonts w:ascii="Arial" w:cs="Arial" w:eastAsia="Arial" w:hAnsi="Arial"/>
          <w:rtl w:val="0"/>
        </w:rPr>
        <w:t xml:space="preserve">office@transatlantyk.org</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b w:val="1"/>
          <w:color w:val="000000"/>
          <w:rtl w:val="0"/>
        </w:rPr>
        <w:t xml:space="preserve">Dane Osobowe – </w:t>
      </w:r>
      <w:r w:rsidDel="00000000" w:rsidR="00000000" w:rsidRPr="00000000">
        <w:rPr>
          <w:rFonts w:ascii="Arial" w:cs="Arial" w:eastAsia="Arial" w:hAnsi="Arial"/>
          <w:color w:val="000000"/>
          <w:rtl w:val="0"/>
        </w:rPr>
        <w:t xml:space="preserve">są to wszelkie informacje o osobie fizycznej zidentyfikowanej lub możliwej do zidentyfikowania poprzez jeden bądź kilka szczególnych czynników określających fizyczną, fizjologiczną, genetyczną, psychiczną, ekonomiczną, kulturową lub społeczną tożsamość, w tym wizerunek, nagranie głosu, dane kontaktowe, dane o lokalizacji, informacje zawarte w korespondencji, informacje gromadzone za pośrednictwem sprzętu rejestrującego lub innej podobnej technologii, w szczególności dane przekazywane Administratorowi w związku ze zgłoszeniem do Konkursu.</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b w:val="1"/>
          <w:color w:val="000000"/>
          <w:rtl w:val="0"/>
        </w:rPr>
        <w:t xml:space="preserve">Konkurs –</w:t>
      </w:r>
      <w:r w:rsidDel="00000000" w:rsidR="00000000" w:rsidRPr="00000000">
        <w:rPr>
          <w:rFonts w:ascii="Arial" w:cs="Arial" w:eastAsia="Arial" w:hAnsi="Arial"/>
          <w:color w:val="000000"/>
          <w:rtl w:val="0"/>
        </w:rPr>
        <w:t xml:space="preserve"> jeden z organizowanych przez Administratora w ramach odbywającego się w dniach od 1.10.2020 r. do 8.10.2020 r. festiwalu „Transatlantyk Festival 2020” konkursów:</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konkurs organizowany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 nazwą „Konkurs Polskich Krótkich Metraży”, którego zasady określa Regulamin dostępny pod adresem </w:t>
      </w:r>
      <w:r w:rsidDel="00000000" w:rsidR="00000000" w:rsidRPr="00000000">
        <w:rPr>
          <w:rFonts w:ascii="Arial" w:cs="Arial" w:eastAsia="Arial" w:hAnsi="Arial"/>
          <w:u w:val="single"/>
          <w:rtl w:val="0"/>
        </w:rPr>
        <w:t xml:space="preserve">transatlantyk.org</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konkurs pod nazwą „Transatlantyk Instant Composition Contest</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którego zasady określa Regulamin dostępny pod adresem </w:t>
      </w:r>
      <w:r w:rsidDel="00000000" w:rsidR="00000000" w:rsidRPr="00000000">
        <w:rPr>
          <w:rFonts w:ascii="Arial" w:cs="Arial" w:eastAsia="Arial" w:hAnsi="Arial"/>
          <w:rtl w:val="0"/>
        </w:rPr>
        <w:t xml:space="preserve">transatlantyk.org</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b w:val="1"/>
          <w:color w:val="000000"/>
          <w:rtl w:val="0"/>
        </w:rPr>
        <w:t xml:space="preserve">Polityka Prywatności </w:t>
      </w:r>
      <w:r w:rsidDel="00000000" w:rsidR="00000000" w:rsidRPr="00000000">
        <w:rPr>
          <w:rFonts w:ascii="Arial" w:cs="Arial" w:eastAsia="Arial" w:hAnsi="Arial"/>
          <w:color w:val="000000"/>
          <w:rtl w:val="0"/>
        </w:rPr>
        <w:t xml:space="preserve">– ten dokument.</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b w:val="1"/>
          <w:color w:val="000000"/>
          <w:rtl w:val="0"/>
        </w:rPr>
        <w:t xml:space="preserve">Regulamin </w:t>
      </w:r>
      <w:r w:rsidDel="00000000" w:rsidR="00000000" w:rsidRPr="00000000">
        <w:rPr>
          <w:rFonts w:ascii="Arial" w:cs="Arial" w:eastAsia="Arial" w:hAnsi="Arial"/>
          <w:color w:val="000000"/>
          <w:rtl w:val="0"/>
        </w:rPr>
        <w:t xml:space="preserve">– regulamin danego Konkursu, określający rodzaj i zakres Danych Osobowych, których podanie wiąże się z udziałem w danym Konkursie.</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b w:val="1"/>
          <w:color w:val="000000"/>
          <w:rtl w:val="0"/>
        </w:rPr>
        <w:t xml:space="preserve">RODO</w:t>
      </w:r>
      <w:r w:rsidDel="00000000" w:rsidR="00000000" w:rsidRPr="00000000">
        <w:rPr>
          <w:rFonts w:ascii="Arial" w:cs="Arial" w:eastAsia="Arial" w:hAnsi="Arial"/>
          <w:color w:val="000000"/>
          <w:rtl w:val="0"/>
        </w:rPr>
        <w:t xml:space="preserve"> - Rozporządzenie Parlamentu Europejskiego i Rady UE 2016/679 z dnia </w:t>
        <w:br w:type="textWrapping"/>
        <w:t xml:space="preserve">27 kwietnia 2016 r. w sprawie ochrony osób fizycznych w związku z przetwarzaniem danych osobowych i w sprawie swobodnego przepływu takich danych oraz uchylenia dyrektywy 95/46/WE (ogólne rozporządzenie o ochronie danych), które formułuje obowiązki Administratora i Państwa uprawnienia.</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b w:val="1"/>
          <w:color w:val="000000"/>
          <w:rtl w:val="0"/>
        </w:rPr>
        <w:t xml:space="preserve">Strona </w:t>
      </w:r>
      <w:r w:rsidDel="00000000" w:rsidR="00000000" w:rsidRPr="00000000">
        <w:rPr>
          <w:rFonts w:ascii="Arial" w:cs="Arial" w:eastAsia="Arial" w:hAnsi="Arial"/>
          <w:color w:val="000000"/>
          <w:rtl w:val="0"/>
        </w:rPr>
        <w:t xml:space="preserve">– strona internetowa Administratora dostępna pod adresem </w:t>
      </w:r>
      <w:r w:rsidDel="00000000" w:rsidR="00000000" w:rsidRPr="00000000">
        <w:rPr>
          <w:rFonts w:ascii="Arial" w:cs="Arial" w:eastAsia="Arial" w:hAnsi="Arial"/>
          <w:rtl w:val="0"/>
        </w:rPr>
        <w:t xml:space="preserve">www.transatlantyk.org</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Pozostałe terminy </w:t>
      </w:r>
      <w:r w:rsidDel="00000000" w:rsidR="00000000" w:rsidRPr="00000000">
        <w:rPr>
          <w:rFonts w:ascii="Arial" w:cs="Arial" w:eastAsia="Arial" w:hAnsi="Arial"/>
          <w:color w:val="000000"/>
          <w:rtl w:val="0"/>
        </w:rPr>
        <w:t xml:space="preserve">zapisane</w:t>
      </w:r>
      <w:r w:rsidDel="00000000" w:rsidR="00000000" w:rsidRPr="00000000">
        <w:rPr>
          <w:rFonts w:ascii="Arial" w:cs="Arial" w:eastAsia="Arial" w:hAnsi="Arial"/>
          <w:color w:val="000000"/>
          <w:rtl w:val="0"/>
        </w:rPr>
        <w:t xml:space="preserve"> dużą literą, jeżeli kontekst wyraźnie nie stanowi inaczej, mają znaczenie nadane im w danym Regulaminie Konkursu.</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76" w:lineRule="auto"/>
        <w:ind w:left="567" w:hanging="567"/>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Kontakt</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Kontakt z Administratorem jest możliwy pisemnie, na adres siedziby Administratora: Fundacja „Transatlantyk Festival”, Plac Wolności 5, 91-415 Łódź oraz mailowo na adres e-mail: </w:t>
      </w:r>
      <w:r w:rsidDel="00000000" w:rsidR="00000000" w:rsidRPr="00000000">
        <w:rPr>
          <w:rFonts w:ascii="Arial" w:cs="Arial" w:eastAsia="Arial" w:hAnsi="Arial"/>
          <w:rtl w:val="0"/>
        </w:rPr>
        <w:t xml:space="preserve">office@transatlantyk.org</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W przypadku kontaktu w sprawie przetwarzania Danych Osobowych prosimy, żeby w miarę możliwości zamieścić w tytule wiadomości e-mail lub jako adnotację na kopercie słowa „Dane Osobowe” lub podobne oznaczenie wskazujące na sprawę dotyczącą przetwarzania Danych Osobowych.</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W jakim celu i na jakiej podstawie przetwarzamy Dane Osobowe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Administrator przetwarza Dane Osobowe::</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przekazywane w ramach formularza zgłoszeniowego (tj. w ramach wszystkich materiałów, informacji i danych składanych w ramach formularza zgłoszeniowego) wskazanych w Regulaminie lub tym formularzu jako obowiązkowe – w celu przeprowadzenia Konkursu i weryfikacji dokonanych zgłoszeń, jak również w celu skorzystania z udzielonej na podstawie i w granicach określonych Regulaminem licencji, z zastrzeżeniem punktów następujących; podstawą przetwarzania jest prawnie uzasadniony interes Administratora (art. 6 ust. 1 lit. f RODO), polegający na przeprowadzeniu Konkursu mającego na celu promowanie Festiwalu oraz budowanie pozytywnego wizerunku Administratora oraz niezbędność do wykonania umowy licencyjnej (art. 6 ust. 1 lit b RODO); </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przekazywanych w ramach informacji dotyczącej przyjęcia Nagrody zawierającej Dane Osobowe do jej wypłaty – w celu wydania Nagrody i udokumentowania tego faktu na potrzeby podatkowe i księgowe; podstawą przetwarzania jest prawnie uzasadniony interes Administratora (art. 6 ust. 1 lit. f RODO), polegający na wykonaniu przyrzeczenia publicznego wydania Nagrody złożonego w Regulaminie oraz – w zakresie udokumentowania jej wydania na potrzeby podatkowe i rachunkowe – obowiązek prawny (art. 6 ust. 1 lit. c RODO) wynikający z przepisów podatkowych i rachunkowych;</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podawanych dobrowolnie w ramach formularzy w zakresie, w jakim ich podanie nie jest obowiązkowe – w celu przeprowadzenia Konkursu; podstawą przetwarzania jest zgoda osób, których Dane Osobowe dotyczą</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w postaci wizerunku uczestników Konkursu pod nazwą „Transatlantyk Instant Composition Contest</w:t>
      </w:r>
      <w:r w:rsidDel="00000000" w:rsidR="00000000" w:rsidRPr="00000000">
        <w:rPr>
          <w:rFonts w:ascii="Arial" w:cs="Arial" w:eastAsia="Arial" w:hAnsi="Arial"/>
          <w:color w:val="000000"/>
          <w:vertAlign w:val="superscript"/>
          <w:rtl w:val="0"/>
        </w:rPr>
        <w:t xml:space="preserve">TM</w:t>
      </w:r>
      <w:r w:rsidDel="00000000" w:rsidR="00000000" w:rsidRPr="00000000">
        <w:rPr>
          <w:rFonts w:ascii="Arial" w:cs="Arial" w:eastAsia="Arial" w:hAnsi="Arial"/>
          <w:color w:val="000000"/>
          <w:rtl w:val="0"/>
        </w:rPr>
        <w:t xml:space="preserve">” – w celu jego utrwalania i rozpowszechniania wraz z wykonaniem Pracy Konkursowej zgodnie z Regulaminem, na potrzeby korzystania przez Administratora z uprawnień wynikających z umowy licencyjnej dotyczących Pracy Konkursowej; podstawą prawną jest niezbędność do wykonania umowy (art. 6 ust. 1 lit. b RODO);</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podawane w związku ze złożeniem reklamacji – w celu rozpatrzenia reklamacji i udzielania odpowiedzi na nią; podstawą przetwarzania jest uzasadniony interes Administratora polegający na możliwości odniesienia się do reklamacji i udzielenia odpowiedzi na nią (art. 6 ust. 1 lit. f RODO).  </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Podane Dane Osobowe mogą być także przetwarzane po zakończeniu Konkursu w celu obrony przed ewentualnymi roszczeniami, bądź w celu ustalenia i dochodzenia ewentualnych roszczeń przez Administratora, w szczególności w przypadku naruszenia Regulaminu przez osoby dokonujące zgłoszenia do Konkursu lub uczestniczące w nim. W takim przypadku podstawą przetwarzania Danych Osobowych jest prawnie uzasadniony interes Administratora, jakim jest ochrona jego praw (art. 6 ust. 1 lit f. RODO). </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Podanie Danych Osobowych wskazanych w formularzach zgłoszeniowych i Regulaminie jako wymagane jest dobrowolne, jednak jest niezbędne w celu wzięcia udziału w Konkursie i otrzymania Nagrody, a niepodanie tych danych skutkuje brakiem możliwości dokonania zgłoszenia do Konkursu, udziału w nim bądź wydania Nagrody. Podanie Danych Osobowych wskazanych w Regulaminie do złożenia reklamacji jest dobrowolne, jednak niepodanie tych danych uniemożliwia rozpatrzenie reklamacji.</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Osoba dokonująca zgłoszenia do Konkursu podająca Dane Osobowe osób trzecich powinna być upoważniona do przekazania Administratorowi takich Danych Osobowych osób trzecich. Osoba dokonująca zgłoszenia zobowiązana jest przedstawić osobie, której Dane Osobowe dotyczą i które są przekazywane Administratorowi w ramach Konkursu, niniejsza Politykę Prywatności.</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Administrator przesyła na podany w Formularzu adres e-mail reżysera Filmu, Politykę Prywatności.</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after="0" w:line="276" w:lineRule="auto"/>
        <w:ind w:left="567" w:hanging="567"/>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Jak długo przechowujemy Państwa Dane Osobowe?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Dane Osobowe będą przetwarzane przez czas realizacji Konkursu i wydania Nagrody. Po zakończeniu Konkursu i wydaniu Nagrody Dane Osobowe będą przetwarzane przez Administratora do czasu przedawnienia ewentualnych roszczeń majątkowych związanych z udziałem w Konkursie. Dane Osobowe zawarte w dokumentacji podatkowej lub księgowej będą przetwarzane do czasu upływu terminy przedawnienia roszczeń publicznoprawnych związanych z przeprowadzeniem Konkursu. Dane Osobowe przetwarzane w związku z korzystaniem z licencji wynikającej z Regulaminu będą przetwarzane przez czas jej trwania.</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Okres przetwarzania Danych Osobowych może być przedłużony w przypadku, gdy przetwarzanie jest niezbędne do ustalenia lub dochodzenia roszczeń lub obrony przed roszczeniami. Po upływie okresu przetwarzania Dane Osobowe są nieodwracalnie usuwane lub anonimizowane.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pacing w:after="0" w:line="276" w:lineRule="auto"/>
        <w:ind w:left="567" w:hanging="567"/>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Odbiorcy danych</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Odbiorcami Danych Osobowych są podmioty, z których Administrator korzysta w związku z organizacją Konkursu oraz Festiwalu, w szczególności dostawcy usług IT (e-mail, hosting) oraz przedsiębiorstwa realizujące na rzecz Administratora usługi księgowe, prawne i doradcze.</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Dane Osobowe w </w:t>
      </w:r>
      <w:r w:rsidDel="00000000" w:rsidR="00000000" w:rsidRPr="00000000">
        <w:rPr>
          <w:rFonts w:ascii="Arial" w:cs="Arial" w:eastAsia="Arial" w:hAnsi="Arial"/>
          <w:color w:val="000000"/>
          <w:rtl w:val="0"/>
        </w:rPr>
        <w:t xml:space="preserve">wyjątkowych sytuacjach mogą być przekazane do Stanów Zjednoczonych Ameryki jedynie podmiotom, które gwarantują odpowiednie standardy ich ochrony, tj. w odniesieniu do których wydana została przez Komisję Europejską decyzja stwierdzająca odpowiedni stopień ochrony, o której mowa w art. 45 RODO, w tym w ramach mechanizmu Privacy Shield, albo też w oparciu o inne odpowiednie zabezpieczenia, o których mowa w art. 46 RODO, w tym modelowe klauzule umowne.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pacing w:after="0" w:line="276" w:lineRule="auto"/>
        <w:ind w:left="567" w:hanging="567"/>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Prawa osoby, której dane dotyczą</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W związku z przetwarzaniem Danych Osobowych, osobie, której Dane Osobowe dotyczą, przysługują następujące uprawnienia:</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prawo dostępu do swoich Danych Osobowych;</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prawo do żądania sprostowania swoich Danych Osobowych;</w:t>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prawo do żądania usunięcia swoich Danych Osobowych (tzw. prawo do bycia</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zapomnianym);</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prawo do żądania ograniczenia przetwarzania swoich Danych Osobowych;</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prawo do przenoszenia swoich Danych Osobowych;</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prawo wniesienia do Administratora sprzeciwu wobec przetwarzania swoich Danych Osobowych w przypadku, w którym takie Dane Osobowe są przetwarzane na podstawie prawnie uzasadnionego interesu Administratora (art. 6 ust. 1 lit f RODO);</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w przypadku przetwarzania Danych Osobowych na podstawie zgody (art. 6 ust. 1 lit. a) RODO), osobie, której Dane Osobowe dotyczą, przysługuje prawo do cofnięcia tej zgody w dowolnym momencie. Cofnięcie zgody nie ma wpływu na zgodność przetwarzania, którego dokonano na podstawie zgody przed jej cofnięciem.</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0" w:line="240" w:lineRule="auto"/>
        <w:ind w:left="1134"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w przypadku powzięcia informacji o przetwarzaniu Danych Osobowych z naruszeniem przepisów o ochronie danych osobowych, osobie, której Dane Osobowe dotyczą, przysługuje prawo wniesienia skargi do organu nadzorczego właściwego w sprawach ochrony danych osobowych (w Polsce – Prezes Urzędu Ochrony Danych Osobowych).</w:t>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Uprawnienia wskazane powyżej są realizowane zgodnie z przepisami obowiązującego prawa, w szczególności zgodnie z przepisami RODO, które określają szczegółowo warunki i zakres korzystania z wymienionych uprawnień i ograniczenia w korzystaniu z nich.</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49"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after="0" w:line="276" w:lineRule="auto"/>
        <w:ind w:left="567" w:hanging="567"/>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Postanowienia końcowe </w:t>
      </w:r>
    </w:p>
    <w:p w:rsidR="00000000" w:rsidDel="00000000" w:rsidP="00000000" w:rsidRDefault="00000000" w:rsidRPr="00000000" w14:paraId="00000042">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Dane Osobowe nie będą profilowane.</w:t>
      </w:r>
      <w:r w:rsidDel="00000000" w:rsidR="00000000" w:rsidRPr="00000000">
        <w:rPr>
          <w:rtl w:val="0"/>
        </w:rPr>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Administrator na bieżąco prowadzi analizę ryzyka w celu zapewnienia, że Dane Osobowe przetwarzane są przez niego w sposób bezpieczny,</w:t>
      </w:r>
      <w:r w:rsidDel="00000000" w:rsidR="00000000" w:rsidRPr="00000000">
        <w:rPr>
          <w:rFonts w:ascii="Arial" w:cs="Arial" w:eastAsia="Arial" w:hAnsi="Arial"/>
          <w:color w:val="000000"/>
          <w:rtl w:val="0"/>
        </w:rPr>
        <w:t xml:space="preserve"> w szczególności Dane Osobowe przekazywane za pośrednictwem Formularza są szyfrowane.</w:t>
      </w:r>
      <w:r w:rsidDel="00000000" w:rsidR="00000000" w:rsidRPr="00000000">
        <w:rPr>
          <w:rtl w:val="0"/>
        </w:rPr>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Polityka Prywatności może podlegać zmianom.</w:t>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ind w:left="567" w:hanging="567"/>
        <w:jc w:val="both"/>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Polityka Prywatności obowiązuje od dnia 20 maja 2020 r.</w:t>
      </w:r>
      <w:r w:rsidDel="00000000" w:rsidR="00000000" w:rsidRPr="00000000">
        <w:rPr>
          <w:rtl w:val="0"/>
        </w:rPr>
      </w:r>
    </w:p>
    <w:sectPr>
      <w:footerReference r:id="rId7"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Strona </w:t>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 </w:t>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94" w:hanging="360"/>
      </w:pPr>
      <w:rPr/>
    </w:lvl>
    <w:lvl w:ilvl="1">
      <w:start w:val="1"/>
      <w:numFmt w:val="lowerLetter"/>
      <w:lvlText w:val="%2."/>
      <w:lvlJc w:val="left"/>
      <w:pPr>
        <w:ind w:left="2214" w:hanging="360"/>
      </w:pPr>
      <w:rPr/>
    </w:lvl>
    <w:lvl w:ilvl="2">
      <w:start w:val="1"/>
      <w:numFmt w:val="lowerRoman"/>
      <w:lvlText w:val="%3."/>
      <w:lvlJc w:val="right"/>
      <w:pPr>
        <w:ind w:left="2934" w:hanging="180"/>
      </w:pPr>
      <w:rPr/>
    </w:lvl>
    <w:lvl w:ilvl="3">
      <w:start w:val="1"/>
      <w:numFmt w:val="decimal"/>
      <w:lvlText w:val="%4."/>
      <w:lvlJc w:val="left"/>
      <w:pPr>
        <w:ind w:left="3654" w:hanging="360"/>
      </w:pPr>
      <w:rPr/>
    </w:lvl>
    <w:lvl w:ilvl="4">
      <w:start w:val="1"/>
      <w:numFmt w:val="lowerLetter"/>
      <w:lvlText w:val="%5."/>
      <w:lvlJc w:val="left"/>
      <w:pPr>
        <w:ind w:left="4374" w:hanging="360"/>
      </w:pPr>
      <w:rPr/>
    </w:lvl>
    <w:lvl w:ilvl="5">
      <w:start w:val="1"/>
      <w:numFmt w:val="lowerRoman"/>
      <w:lvlText w:val="%6."/>
      <w:lvlJc w:val="right"/>
      <w:pPr>
        <w:ind w:left="5094" w:hanging="180"/>
      </w:pPr>
      <w:rPr/>
    </w:lvl>
    <w:lvl w:ilvl="6">
      <w:start w:val="1"/>
      <w:numFmt w:val="decimal"/>
      <w:lvlText w:val="%7."/>
      <w:lvlJc w:val="left"/>
      <w:pPr>
        <w:ind w:left="5814" w:hanging="360"/>
      </w:pPr>
      <w:rPr/>
    </w:lvl>
    <w:lvl w:ilvl="7">
      <w:start w:val="1"/>
      <w:numFmt w:val="lowerLetter"/>
      <w:lvlText w:val="%8."/>
      <w:lvlJc w:val="left"/>
      <w:pPr>
        <w:ind w:left="6534" w:hanging="360"/>
      </w:pPr>
      <w:rPr/>
    </w:lvl>
    <w:lvl w:ilvl="8">
      <w:start w:val="1"/>
      <w:numFmt w:val="lowerRoman"/>
      <w:lvlText w:val="%9."/>
      <w:lvlJc w:val="right"/>
      <w:pPr>
        <w:ind w:left="7254"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 %1"/>
      <w:lvlJc w:val="left"/>
      <w:pPr>
        <w:ind w:left="720" w:hanging="360"/>
      </w:pPr>
      <w:rPr>
        <w:rFonts w:ascii="Arial" w:cs="Arial" w:eastAsia="Arial" w:hAnsi="Arial"/>
        <w:b w:val="1"/>
        <w:i w:val="0"/>
        <w:smallCaps w:val="0"/>
        <w:strike w:val="0"/>
        <w:sz w:val="20"/>
        <w:szCs w:val="2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rFonts w:ascii="Arial" w:cs="Arial" w:eastAsia="Arial" w:hAnsi="Arial"/>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paragraph" w:styleId="Default" w:customStyle="1">
    <w:name w:val="Default"/>
    <w:rsid w:val="002F4706"/>
    <w:pPr>
      <w:autoSpaceDE w:val="0"/>
      <w:autoSpaceDN w:val="0"/>
      <w:adjustRightInd w:val="0"/>
      <w:spacing w:after="0" w:line="240" w:lineRule="auto"/>
    </w:pPr>
    <w:rPr>
      <w:rFonts w:ascii="Arial" w:cs="Arial" w:hAnsi="Arial"/>
      <w:color w:val="000000"/>
      <w:sz w:val="24"/>
      <w:szCs w:val="24"/>
    </w:rPr>
  </w:style>
  <w:style w:type="paragraph" w:styleId="Tekstdymka">
    <w:name w:val="Balloon Text"/>
    <w:basedOn w:val="Normalny"/>
    <w:link w:val="TekstdymkaZnak"/>
    <w:uiPriority w:val="99"/>
    <w:semiHidden w:val="1"/>
    <w:unhideWhenUsed w:val="1"/>
    <w:rsid w:val="00A14F49"/>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A14F49"/>
    <w:rPr>
      <w:rFonts w:ascii="Segoe UI" w:cs="Segoe UI" w:hAnsi="Segoe UI"/>
      <w:sz w:val="18"/>
      <w:szCs w:val="18"/>
    </w:rPr>
  </w:style>
  <w:style w:type="paragraph" w:styleId="Akapitzlist">
    <w:name w:val="List Paragraph"/>
    <w:basedOn w:val="Normalny"/>
    <w:uiPriority w:val="34"/>
    <w:qFormat w:val="1"/>
    <w:rsid w:val="003E017D"/>
    <w:pPr>
      <w:ind w:left="720"/>
      <w:contextualSpacing w:val="1"/>
    </w:pPr>
    <w:rPr>
      <w:rFonts w:ascii="Cambria" w:hAnsi="Cambria"/>
      <w:sz w:val="24"/>
    </w:rPr>
  </w:style>
  <w:style w:type="character" w:styleId="Hipercze">
    <w:name w:val="Hyperlink"/>
    <w:basedOn w:val="Domylnaczcionkaakapitu"/>
    <w:uiPriority w:val="99"/>
    <w:unhideWhenUsed w:val="1"/>
    <w:rsid w:val="003E017D"/>
    <w:rPr>
      <w:color w:val="0000ff"/>
      <w:u w:val="single"/>
    </w:rPr>
  </w:style>
  <w:style w:type="character" w:styleId="Nierozpoznanawzmianka">
    <w:name w:val="Unresolved Mention"/>
    <w:basedOn w:val="Domylnaczcionkaakapitu"/>
    <w:uiPriority w:val="99"/>
    <w:semiHidden w:val="1"/>
    <w:unhideWhenUsed w:val="1"/>
    <w:rsid w:val="00EC310E"/>
    <w:rPr>
      <w:color w:val="605e5c"/>
      <w:shd w:color="auto" w:fill="e1dfdd" w:val="clear"/>
    </w:rPr>
  </w:style>
  <w:style w:type="character" w:styleId="Odwoaniedokomentarza">
    <w:name w:val="annotation reference"/>
    <w:basedOn w:val="Domylnaczcionkaakapitu"/>
    <w:uiPriority w:val="99"/>
    <w:semiHidden w:val="1"/>
    <w:unhideWhenUsed w:val="1"/>
    <w:rsid w:val="005C1D62"/>
    <w:rPr>
      <w:sz w:val="16"/>
      <w:szCs w:val="16"/>
    </w:rPr>
  </w:style>
  <w:style w:type="paragraph" w:styleId="Tekstkomentarza">
    <w:name w:val="annotation text"/>
    <w:basedOn w:val="Normalny"/>
    <w:link w:val="TekstkomentarzaZnak"/>
    <w:uiPriority w:val="99"/>
    <w:unhideWhenUsed w:val="1"/>
    <w:rsid w:val="005C1D62"/>
    <w:pPr>
      <w:spacing w:line="240" w:lineRule="auto"/>
    </w:pPr>
    <w:rPr>
      <w:sz w:val="20"/>
      <w:szCs w:val="20"/>
    </w:rPr>
  </w:style>
  <w:style w:type="character" w:styleId="TekstkomentarzaZnak" w:customStyle="1">
    <w:name w:val="Tekst komentarza Znak"/>
    <w:basedOn w:val="Domylnaczcionkaakapitu"/>
    <w:link w:val="Tekstkomentarza"/>
    <w:uiPriority w:val="99"/>
    <w:rsid w:val="005C1D62"/>
    <w:rPr>
      <w:sz w:val="20"/>
      <w:szCs w:val="20"/>
    </w:rPr>
  </w:style>
  <w:style w:type="paragraph" w:styleId="Tematkomentarza">
    <w:name w:val="annotation subject"/>
    <w:basedOn w:val="Tekstkomentarza"/>
    <w:next w:val="Tekstkomentarza"/>
    <w:link w:val="TematkomentarzaZnak"/>
    <w:uiPriority w:val="99"/>
    <w:semiHidden w:val="1"/>
    <w:unhideWhenUsed w:val="1"/>
    <w:rsid w:val="005C1D62"/>
    <w:rPr>
      <w:b w:val="1"/>
      <w:bCs w:val="1"/>
    </w:rPr>
  </w:style>
  <w:style w:type="character" w:styleId="TematkomentarzaZnak" w:customStyle="1">
    <w:name w:val="Temat komentarza Znak"/>
    <w:basedOn w:val="TekstkomentarzaZnak"/>
    <w:link w:val="Tematkomentarza"/>
    <w:uiPriority w:val="99"/>
    <w:semiHidden w:val="1"/>
    <w:rsid w:val="005C1D62"/>
    <w:rPr>
      <w:b w:val="1"/>
      <w:bCs w:val="1"/>
      <w:sz w:val="20"/>
      <w:szCs w:val="20"/>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paragraph" w:styleId="Nagwek">
    <w:name w:val="header"/>
    <w:basedOn w:val="Normalny"/>
    <w:link w:val="NagwekZnak"/>
    <w:uiPriority w:val="99"/>
    <w:unhideWhenUsed w:val="1"/>
    <w:rsid w:val="00BC3460"/>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BC3460"/>
  </w:style>
  <w:style w:type="paragraph" w:styleId="Stopka">
    <w:name w:val="footer"/>
    <w:basedOn w:val="Normalny"/>
    <w:link w:val="StopkaZnak"/>
    <w:uiPriority w:val="99"/>
    <w:unhideWhenUsed w:val="1"/>
    <w:rsid w:val="00BC3460"/>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BC346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Ld3bNDpY7csXOSFbHc1P3+etVA==">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2020-08-19T14:54:00Z</dcterms:created>
  <dc:creator>Ewa Kaminska</dc:creator>
</cp:coreProperties>
</file>